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560" w:lineRule="exact"/>
        <w:ind w:left="718" w:leftChars="342" w:firstLine="0" w:firstLineChars="0"/>
        <w:jc w:val="center"/>
        <w:rPr>
          <w:rFonts w:hint="eastAsia" w:ascii="方正小标宋简体" w:hAnsi="方正小标宋简体" w:eastAsia="方正小标宋简体" w:cs="方正小标宋简体"/>
          <w:sz w:val="36"/>
          <w:szCs w:val="32"/>
          <w:lang w:eastAsia="zh-CN"/>
        </w:rPr>
      </w:pPr>
      <w:bookmarkStart w:id="0" w:name="_GoBack"/>
      <w:r>
        <w:rPr>
          <w:rFonts w:hint="eastAsia" w:ascii="方正小标宋简体" w:hAnsi="方正小标宋简体" w:eastAsia="方正小标宋简体" w:cs="方正小标宋简体"/>
          <w:sz w:val="36"/>
          <w:szCs w:val="32"/>
          <w:lang w:eastAsia="zh-CN"/>
        </w:rPr>
        <w:t>衢州学院关于开展</w:t>
      </w:r>
      <w:r>
        <w:rPr>
          <w:rFonts w:hint="eastAsia" w:ascii="方正小标宋简体" w:hAnsi="方正小标宋简体" w:eastAsia="方正小标宋简体" w:cs="方正小标宋简体"/>
          <w:sz w:val="36"/>
          <w:szCs w:val="32"/>
        </w:rPr>
        <w:t>阳光长跑活动</w:t>
      </w:r>
      <w:r>
        <w:rPr>
          <w:rFonts w:hint="eastAsia" w:ascii="方正小标宋简体" w:hAnsi="方正小标宋简体" w:eastAsia="方正小标宋简体" w:cs="方正小标宋简体"/>
          <w:sz w:val="36"/>
          <w:szCs w:val="32"/>
          <w:lang w:eastAsia="zh-CN"/>
        </w:rPr>
        <w:t>通知</w:t>
      </w:r>
    </w:p>
    <w:bookmarkEnd w:id="0"/>
    <w:p>
      <w:pPr>
        <w:spacing w:before="312" w:line="560" w:lineRule="exact"/>
        <w:ind w:firstLine="480" w:firstLineChars="200"/>
        <w:rPr>
          <w:rFonts w:ascii="仿宋_GB2312" w:hAnsi="宋体" w:eastAsia="仿宋_GB2312"/>
          <w:sz w:val="24"/>
          <w:szCs w:val="24"/>
        </w:rPr>
      </w:pPr>
      <w:r>
        <w:rPr>
          <w:rFonts w:hint="eastAsia" w:ascii="仿宋_GB2312" w:hAnsi="宋体" w:eastAsia="仿宋_GB2312"/>
          <w:sz w:val="24"/>
          <w:szCs w:val="24"/>
        </w:rPr>
        <w:t>为贯彻落实上级和学校防控办有关部署，促进学生体质健康水平的提高，提高学生的免疫力，根据教育部、国家体育总局关于贯彻实施《教育部国家体育总局共青团中央关于开展全国亿万学生阳光体育运动的通知》（教体艺〔2006〕6号）、《衢州学院关于印发阳光体育运动实施方案的通知》（衢院体〔2014〕1号）文件的精神，结合疫情防控形势和学校实际，特制定本方案。</w:t>
      </w:r>
    </w:p>
    <w:p>
      <w:pPr>
        <w:spacing w:line="560" w:lineRule="exact"/>
        <w:ind w:firstLine="560" w:firstLineChars="200"/>
        <w:rPr>
          <w:rFonts w:ascii="黑体" w:hAnsi="宋体" w:eastAsia="黑体"/>
          <w:sz w:val="28"/>
          <w:szCs w:val="28"/>
        </w:rPr>
      </w:pPr>
      <w:r>
        <w:rPr>
          <w:rFonts w:hint="eastAsia" w:ascii="黑体" w:hAnsi="宋体" w:eastAsia="黑体"/>
          <w:sz w:val="28"/>
          <w:szCs w:val="28"/>
        </w:rPr>
        <w:t>一、“阳光长跑”对象与时间</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1.“阳光长跑”对象：在籍大一、大二全体学生，大三本科生。</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2.“阳光长跑”时间：</w:t>
      </w:r>
      <w:r>
        <w:rPr>
          <w:rFonts w:hint="eastAsia" w:ascii="仿宋_GB2312" w:hAnsi="宋体" w:eastAsia="仿宋_GB2312"/>
          <w:color w:val="FF0000"/>
          <w:sz w:val="24"/>
          <w:szCs w:val="28"/>
        </w:rPr>
        <w:t>2020年</w:t>
      </w:r>
      <w:r>
        <w:rPr>
          <w:rFonts w:hint="eastAsia" w:ascii="仿宋_GB2312" w:hAnsi="宋体" w:eastAsia="仿宋_GB2312"/>
          <w:color w:val="FF0000"/>
          <w:sz w:val="24"/>
          <w:szCs w:val="28"/>
          <w:lang w:val="en-US" w:eastAsia="zh-CN"/>
        </w:rPr>
        <w:t>9</w:t>
      </w:r>
      <w:r>
        <w:rPr>
          <w:rFonts w:hint="eastAsia" w:ascii="仿宋_GB2312" w:hAnsi="宋体" w:eastAsia="仿宋_GB2312"/>
          <w:color w:val="FF0000"/>
          <w:sz w:val="24"/>
          <w:szCs w:val="28"/>
        </w:rPr>
        <w:t>月</w:t>
      </w:r>
      <w:r>
        <w:rPr>
          <w:rFonts w:hint="eastAsia" w:ascii="仿宋_GB2312" w:hAnsi="宋体" w:eastAsia="仿宋_GB2312"/>
          <w:color w:val="FF0000"/>
          <w:sz w:val="24"/>
          <w:szCs w:val="28"/>
          <w:lang w:val="en-US" w:eastAsia="zh-CN"/>
        </w:rPr>
        <w:t>21</w:t>
      </w:r>
      <w:r>
        <w:rPr>
          <w:rFonts w:hint="eastAsia" w:ascii="仿宋_GB2312" w:hAnsi="宋体" w:eastAsia="仿宋_GB2312"/>
          <w:color w:val="FF0000"/>
          <w:sz w:val="24"/>
          <w:szCs w:val="28"/>
        </w:rPr>
        <w:t>日—2020年</w:t>
      </w:r>
      <w:r>
        <w:rPr>
          <w:rFonts w:hint="eastAsia" w:ascii="仿宋_GB2312" w:hAnsi="宋体" w:eastAsia="仿宋_GB2312"/>
          <w:color w:val="FF0000"/>
          <w:sz w:val="24"/>
          <w:szCs w:val="28"/>
          <w:lang w:val="en-US" w:eastAsia="zh-CN"/>
        </w:rPr>
        <w:t>12</w:t>
      </w:r>
      <w:r>
        <w:rPr>
          <w:rFonts w:hint="eastAsia" w:ascii="仿宋_GB2312" w:hAnsi="宋体" w:eastAsia="仿宋_GB2312"/>
          <w:color w:val="FF0000"/>
          <w:sz w:val="24"/>
          <w:szCs w:val="28"/>
        </w:rPr>
        <w:t>月</w:t>
      </w:r>
      <w:r>
        <w:rPr>
          <w:rFonts w:hint="eastAsia" w:ascii="仿宋_GB2312" w:hAnsi="宋体" w:eastAsia="仿宋_GB2312"/>
          <w:color w:val="FF0000"/>
          <w:sz w:val="24"/>
          <w:szCs w:val="28"/>
          <w:lang w:val="en-US" w:eastAsia="zh-CN"/>
        </w:rPr>
        <w:t>18</w:t>
      </w:r>
      <w:r>
        <w:rPr>
          <w:rFonts w:hint="eastAsia" w:ascii="仿宋_GB2312" w:hAnsi="宋体" w:eastAsia="仿宋_GB2312"/>
          <w:color w:val="FF0000"/>
          <w:sz w:val="24"/>
          <w:szCs w:val="28"/>
        </w:rPr>
        <w:t>日</w:t>
      </w:r>
    </w:p>
    <w:p>
      <w:pPr>
        <w:spacing w:line="560" w:lineRule="exact"/>
        <w:ind w:firstLine="480" w:firstLineChars="200"/>
        <w:rPr>
          <w:rFonts w:ascii="仿宋_GB2312" w:hAnsi="宋体" w:eastAsia="仿宋_GB2312"/>
          <w:sz w:val="28"/>
          <w:szCs w:val="32"/>
        </w:rPr>
      </w:pPr>
      <w:r>
        <w:rPr>
          <w:rFonts w:hint="eastAsia" w:ascii="仿宋_GB2312" w:hAnsi="宋体" w:eastAsia="仿宋_GB2312"/>
          <w:sz w:val="24"/>
          <w:szCs w:val="28"/>
        </w:rPr>
        <w:t>每天具体时间段为：</w:t>
      </w:r>
      <w:r>
        <w:rPr>
          <w:rFonts w:hint="eastAsia" w:ascii="仿宋_GB2312" w:hAnsi="宋体" w:eastAsia="仿宋_GB2312"/>
          <w:color w:val="FF0000"/>
          <w:sz w:val="24"/>
          <w:szCs w:val="28"/>
        </w:rPr>
        <w:t>5:30—19:30（任一时段，错峰跑步）</w:t>
      </w:r>
    </w:p>
    <w:p>
      <w:pPr>
        <w:spacing w:line="560" w:lineRule="exact"/>
        <w:ind w:firstLine="560" w:firstLineChars="200"/>
        <w:rPr>
          <w:rFonts w:ascii="黑体" w:hAnsi="宋体" w:eastAsia="黑体"/>
          <w:sz w:val="28"/>
          <w:szCs w:val="28"/>
        </w:rPr>
      </w:pPr>
      <w:r>
        <w:rPr>
          <w:rFonts w:hint="eastAsia" w:ascii="黑体" w:hAnsi="宋体" w:eastAsia="黑体"/>
          <w:sz w:val="28"/>
          <w:szCs w:val="28"/>
        </w:rPr>
        <w:t>二、“阳光长跑”打卡点、流程及要求</w:t>
      </w:r>
    </w:p>
    <w:p>
      <w:pPr>
        <w:spacing w:line="560" w:lineRule="exact"/>
        <w:ind w:firstLine="480" w:firstLineChars="200"/>
        <w:rPr>
          <w:rFonts w:hint="eastAsia" w:ascii="仿宋_GB2312" w:hAnsi="宋体" w:eastAsia="仿宋_GB2312"/>
          <w:sz w:val="24"/>
          <w:szCs w:val="28"/>
          <w:lang w:eastAsia="zh-CN"/>
        </w:rPr>
      </w:pPr>
      <w:r>
        <w:rPr>
          <w:rFonts w:hint="eastAsia" w:ascii="仿宋_GB2312" w:hAnsi="宋体" w:eastAsia="仿宋_GB2312"/>
          <w:sz w:val="24"/>
          <w:szCs w:val="28"/>
        </w:rPr>
        <w:t>1.“阳光长跑”打卡点：A点：见贤路（体育馆西侧）B点：柯山路（田径场看台西侧）C点：（行政楼与教学楼之间空地）</w:t>
      </w:r>
      <w:r>
        <w:rPr>
          <w:rFonts w:hint="eastAsia" w:ascii="仿宋_GB2312" w:hAnsi="宋体" w:eastAsia="仿宋_GB2312"/>
          <w:sz w:val="24"/>
          <w:szCs w:val="28"/>
          <w:lang w:val="en-US" w:eastAsia="zh-CN"/>
        </w:rPr>
        <w:t>A—</w:t>
      </w:r>
      <w:r>
        <w:rPr>
          <w:rFonts w:hint="eastAsia" w:ascii="仿宋_GB2312" w:hAnsi="宋体" w:eastAsia="仿宋_GB2312"/>
          <w:sz w:val="24"/>
          <w:szCs w:val="28"/>
        </w:rPr>
        <w:t>C：500米； A—B：350米；B-C：300米。学生每次跑步可选择任意打卡点为起始点。到达监测点→刷一卡通→通过认证→到达下一个监测点</w:t>
      </w:r>
      <w:r>
        <w:rPr>
          <w:rFonts w:hint="eastAsia" w:ascii="仿宋_GB2312" w:hAnsi="宋体" w:eastAsia="仿宋_GB2312"/>
          <w:sz w:val="24"/>
          <w:szCs w:val="28"/>
          <w:lang w:eastAsia="zh-CN"/>
        </w:rPr>
        <w:t>。</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drawing>
          <wp:anchor distT="0" distB="0" distL="114300" distR="114300" simplePos="0" relativeHeight="251663360" behindDoc="0" locked="0" layoutInCell="1" allowOverlap="1">
            <wp:simplePos x="0" y="0"/>
            <wp:positionH relativeFrom="column">
              <wp:posOffset>666115</wp:posOffset>
            </wp:positionH>
            <wp:positionV relativeFrom="paragraph">
              <wp:posOffset>127635</wp:posOffset>
            </wp:positionV>
            <wp:extent cx="3799840" cy="2245995"/>
            <wp:effectExtent l="12700" t="12700" r="16510" b="27305"/>
            <wp:wrapTopAndBottom/>
            <wp:docPr id="2" name="图片 1" descr="刷卡点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刷卡点地图.png"/>
                    <pic:cNvPicPr>
                      <a:picLocks noChangeAspect="1"/>
                    </pic:cNvPicPr>
                  </pic:nvPicPr>
                  <pic:blipFill>
                    <a:blip r:embed="rId10" cstate="print"/>
                    <a:srcRect t="8540"/>
                    <a:stretch>
                      <a:fillRect/>
                    </a:stretch>
                  </pic:blipFill>
                  <pic:spPr>
                    <a:xfrm>
                      <a:off x="0" y="0"/>
                      <a:ext cx="3799840" cy="2245995"/>
                    </a:xfrm>
                    <a:prstGeom prst="rect">
                      <a:avLst/>
                    </a:prstGeom>
                    <a:ln w="12700" cmpd="sng">
                      <a:solidFill>
                        <a:schemeClr val="accent1">
                          <a:shade val="50000"/>
                        </a:schemeClr>
                      </a:solidFill>
                      <a:prstDash val="solid"/>
                    </a:ln>
                  </pic:spPr>
                </pic:pic>
              </a:graphicData>
            </a:graphic>
          </wp:anchor>
        </w:drawing>
      </w:r>
      <w:r>
        <w:rPr>
          <w:rFonts w:hint="eastAsia" w:ascii="仿宋_GB2312" w:hAnsi="宋体" w:eastAsia="仿宋_GB2312"/>
          <w:sz w:val="24"/>
          <w:szCs w:val="28"/>
          <w:lang w:val="en-US" w:eastAsia="zh-CN"/>
        </w:rPr>
        <w:t>2</w:t>
      </w:r>
      <w:r>
        <w:rPr>
          <w:rFonts w:hint="eastAsia" w:ascii="仿宋_GB2312" w:hAnsi="宋体" w:eastAsia="仿宋_GB2312"/>
          <w:sz w:val="22"/>
          <w:szCs w:val="24"/>
        </w:rPr>
        <w:t>.</w:t>
      </w:r>
      <w:r>
        <w:rPr>
          <w:rFonts w:hint="eastAsia" w:ascii="仿宋_GB2312" w:hAnsi="宋体" w:eastAsia="仿宋_GB2312"/>
          <w:sz w:val="24"/>
          <w:szCs w:val="28"/>
        </w:rPr>
        <w:t>“阳光长跑”要求：</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“阳光长跑”次数：建议每周至少跑2次，每天最多一次。</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“阳光长跑”距离：每次女生至少1500米；男生至少2000米。未达规定距离，不计该次有效次数。</w:t>
      </w:r>
    </w:p>
    <w:p>
      <w:pPr>
        <w:spacing w:line="560" w:lineRule="exact"/>
        <w:ind w:firstLine="480" w:firstLineChars="200"/>
        <w:rPr>
          <w:rFonts w:hint="eastAsia" w:ascii="仿宋_GB2312" w:hAnsi="宋体" w:eastAsia="仿宋_GB2312"/>
          <w:sz w:val="24"/>
          <w:szCs w:val="28"/>
          <w:lang w:val="en-US" w:eastAsia="zh-CN"/>
        </w:rPr>
      </w:pPr>
      <w:r>
        <w:rPr>
          <w:rFonts w:hint="eastAsia" w:ascii="仿宋_GB2312" w:hAnsi="宋体" w:eastAsia="仿宋_GB2312"/>
          <w:sz w:val="24"/>
          <w:szCs w:val="28"/>
        </w:rPr>
        <w:t>“阳光长跑”速度：</w:t>
      </w:r>
      <w:r>
        <w:rPr>
          <w:rFonts w:hint="eastAsia" w:ascii="仿宋_GB2312" w:hAnsi="宋体" w:eastAsia="仿宋_GB2312"/>
          <w:sz w:val="24"/>
          <w:szCs w:val="28"/>
          <w:lang w:eastAsia="zh-CN"/>
        </w:rPr>
        <w:t>男生最低限速</w:t>
      </w:r>
      <w:r>
        <w:rPr>
          <w:rFonts w:hint="eastAsia" w:ascii="仿宋_GB2312" w:hAnsi="宋体" w:eastAsia="仿宋_GB2312"/>
          <w:sz w:val="24"/>
          <w:szCs w:val="28"/>
          <w:lang w:val="en-US" w:eastAsia="zh-CN"/>
        </w:rPr>
        <w:t>2.3</w:t>
      </w:r>
      <w:r>
        <w:rPr>
          <w:rFonts w:hint="eastAsia" w:ascii="仿宋_GB2312" w:hAnsi="宋体" w:eastAsia="仿宋_GB2312"/>
          <w:sz w:val="24"/>
          <w:szCs w:val="28"/>
        </w:rPr>
        <w:t>m/s</w:t>
      </w:r>
      <w:r>
        <w:rPr>
          <w:rFonts w:hint="eastAsia" w:ascii="仿宋_GB2312" w:hAnsi="宋体" w:eastAsia="仿宋_GB2312"/>
          <w:sz w:val="24"/>
          <w:szCs w:val="28"/>
          <w:lang w:eastAsia="zh-CN"/>
        </w:rPr>
        <w:t>，女生最低限速</w:t>
      </w:r>
      <w:r>
        <w:rPr>
          <w:rFonts w:hint="eastAsia" w:ascii="仿宋_GB2312" w:hAnsi="宋体" w:eastAsia="仿宋_GB2312"/>
          <w:sz w:val="24"/>
          <w:szCs w:val="28"/>
          <w:lang w:val="en-US" w:eastAsia="zh-CN"/>
        </w:rPr>
        <w:t>1.8</w:t>
      </w:r>
      <w:r>
        <w:rPr>
          <w:rFonts w:hint="eastAsia" w:ascii="仿宋_GB2312" w:hAnsi="宋体" w:eastAsia="仿宋_GB2312"/>
          <w:sz w:val="24"/>
          <w:szCs w:val="28"/>
        </w:rPr>
        <w:t>m/s</w:t>
      </w:r>
      <w:r>
        <w:rPr>
          <w:rFonts w:hint="eastAsia" w:ascii="仿宋_GB2312" w:hAnsi="宋体" w:eastAsia="仿宋_GB2312"/>
          <w:sz w:val="24"/>
          <w:szCs w:val="28"/>
          <w:lang w:eastAsia="zh-CN"/>
        </w:rPr>
        <w:t>，</w:t>
      </w:r>
      <w:r>
        <w:rPr>
          <w:rFonts w:hint="eastAsia" w:ascii="仿宋_GB2312" w:hAnsi="宋体" w:eastAsia="仿宋_GB2312"/>
          <w:sz w:val="24"/>
          <w:szCs w:val="28"/>
        </w:rPr>
        <w:t>最高速度不能超过5.5m/s</w:t>
      </w:r>
      <w:r>
        <w:rPr>
          <w:rFonts w:hint="eastAsia" w:ascii="仿宋_GB2312" w:hAnsi="宋体" w:eastAsia="仿宋_GB2312"/>
          <w:sz w:val="24"/>
          <w:szCs w:val="28"/>
          <w:lang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三、“阳光长跑”与体育课成绩及学生评奖评优相关规定</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1．根据国家教育部关于贯彻实施《高等学校体育工作基本标准》（教体艺〔2014〕4号）文件的精神，将“阳光长跑”纳入体育课程评价体系，鼓励学生积极进行课外体育锻炼。</w:t>
      </w:r>
    </w:p>
    <w:p>
      <w:pPr>
        <w:spacing w:line="560" w:lineRule="exact"/>
        <w:ind w:firstLine="480" w:firstLineChars="200"/>
        <w:rPr>
          <w:rFonts w:ascii="仿宋_GB2312" w:hAnsi="宋体" w:eastAsia="仿宋_GB2312"/>
          <w:sz w:val="28"/>
          <w:szCs w:val="32"/>
        </w:rPr>
      </w:pPr>
      <w:r>
        <w:rPr>
          <w:rFonts w:hint="eastAsia" w:ascii="仿宋_GB2312" w:hAnsi="宋体" w:eastAsia="仿宋_GB2312"/>
          <w:sz w:val="24"/>
          <w:szCs w:val="28"/>
        </w:rPr>
        <w:t>本学期“阳光长跑”成绩计入学生体育课堂成绩，占体育课成绩的10%，共计10分。</w:t>
      </w:r>
    </w:p>
    <w:p>
      <w:pPr>
        <w:spacing w:afterLines="50"/>
        <w:ind w:firstLine="480" w:firstLineChars="200"/>
        <w:jc w:val="center"/>
        <w:rPr>
          <w:rFonts w:ascii="宋体" w:hAnsi="宋体"/>
          <w:sz w:val="24"/>
        </w:rPr>
      </w:pPr>
      <w:r>
        <w:rPr>
          <w:rFonts w:hint="eastAsia" w:ascii="宋体" w:hAnsi="宋体"/>
          <w:sz w:val="24"/>
        </w:rPr>
        <w:t>表一 基准次数折算成绩标准</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547"/>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dxa"/>
          </w:tcPr>
          <w:p>
            <w:pPr>
              <w:jc w:val="center"/>
              <w:rPr>
                <w:rFonts w:ascii="宋体" w:hAnsi="宋体"/>
                <w:kern w:val="0"/>
                <w:sz w:val="22"/>
                <w:szCs w:val="32"/>
              </w:rPr>
            </w:pPr>
            <w:r>
              <w:rPr>
                <w:rFonts w:hint="eastAsia" w:ascii="宋体" w:hAnsi="宋体"/>
                <w:kern w:val="0"/>
                <w:sz w:val="22"/>
                <w:szCs w:val="32"/>
              </w:rPr>
              <w:t>次数</w:t>
            </w:r>
          </w:p>
        </w:tc>
        <w:tc>
          <w:tcPr>
            <w:tcW w:w="547" w:type="dxa"/>
            <w:vAlign w:val="center"/>
          </w:tcPr>
          <w:p>
            <w:pPr>
              <w:jc w:val="center"/>
              <w:rPr>
                <w:rFonts w:ascii="宋体" w:hAnsi="宋体"/>
                <w:kern w:val="0"/>
                <w:sz w:val="22"/>
                <w:szCs w:val="32"/>
              </w:rPr>
            </w:pPr>
            <w:r>
              <w:rPr>
                <w:rFonts w:hint="eastAsia" w:ascii="宋体" w:hAnsi="宋体"/>
                <w:kern w:val="0"/>
                <w:sz w:val="22"/>
                <w:szCs w:val="32"/>
              </w:rPr>
              <w:t>52</w:t>
            </w:r>
          </w:p>
        </w:tc>
        <w:tc>
          <w:tcPr>
            <w:tcW w:w="448" w:type="dxa"/>
            <w:vAlign w:val="center"/>
          </w:tcPr>
          <w:p>
            <w:pPr>
              <w:jc w:val="center"/>
              <w:rPr>
                <w:rFonts w:ascii="宋体" w:hAnsi="宋体"/>
                <w:kern w:val="0"/>
                <w:sz w:val="22"/>
                <w:szCs w:val="32"/>
              </w:rPr>
            </w:pPr>
            <w:r>
              <w:rPr>
                <w:rFonts w:hint="eastAsia" w:ascii="宋体" w:hAnsi="宋体"/>
                <w:kern w:val="0"/>
                <w:sz w:val="22"/>
                <w:szCs w:val="32"/>
              </w:rPr>
              <w:t>50</w:t>
            </w:r>
          </w:p>
        </w:tc>
        <w:tc>
          <w:tcPr>
            <w:tcW w:w="448" w:type="dxa"/>
            <w:vAlign w:val="center"/>
          </w:tcPr>
          <w:p>
            <w:pPr>
              <w:jc w:val="center"/>
              <w:rPr>
                <w:rFonts w:ascii="宋体" w:hAnsi="宋体"/>
                <w:kern w:val="0"/>
                <w:sz w:val="22"/>
                <w:szCs w:val="32"/>
              </w:rPr>
            </w:pPr>
            <w:r>
              <w:rPr>
                <w:rFonts w:hint="eastAsia" w:ascii="宋体" w:hAnsi="宋体"/>
                <w:kern w:val="0"/>
                <w:sz w:val="22"/>
                <w:szCs w:val="32"/>
              </w:rPr>
              <w:t>48</w:t>
            </w:r>
          </w:p>
        </w:tc>
        <w:tc>
          <w:tcPr>
            <w:tcW w:w="448" w:type="dxa"/>
            <w:vAlign w:val="center"/>
          </w:tcPr>
          <w:p>
            <w:pPr>
              <w:jc w:val="center"/>
              <w:rPr>
                <w:rFonts w:ascii="宋体" w:hAnsi="宋体"/>
                <w:kern w:val="0"/>
                <w:sz w:val="22"/>
                <w:szCs w:val="32"/>
              </w:rPr>
            </w:pPr>
            <w:r>
              <w:rPr>
                <w:rFonts w:hint="eastAsia" w:ascii="宋体" w:hAnsi="宋体"/>
                <w:kern w:val="0"/>
                <w:sz w:val="22"/>
                <w:szCs w:val="32"/>
              </w:rPr>
              <w:t>46</w:t>
            </w:r>
          </w:p>
        </w:tc>
        <w:tc>
          <w:tcPr>
            <w:tcW w:w="448" w:type="dxa"/>
            <w:vAlign w:val="center"/>
          </w:tcPr>
          <w:p>
            <w:pPr>
              <w:jc w:val="center"/>
              <w:rPr>
                <w:rFonts w:ascii="宋体" w:hAnsi="宋体"/>
                <w:kern w:val="0"/>
                <w:sz w:val="22"/>
                <w:szCs w:val="32"/>
              </w:rPr>
            </w:pPr>
            <w:r>
              <w:rPr>
                <w:rFonts w:hint="eastAsia" w:ascii="宋体" w:hAnsi="宋体"/>
                <w:kern w:val="0"/>
                <w:sz w:val="22"/>
                <w:szCs w:val="32"/>
              </w:rPr>
              <w:t>44</w:t>
            </w:r>
          </w:p>
        </w:tc>
        <w:tc>
          <w:tcPr>
            <w:tcW w:w="448" w:type="dxa"/>
            <w:vAlign w:val="center"/>
          </w:tcPr>
          <w:p>
            <w:pPr>
              <w:jc w:val="center"/>
              <w:rPr>
                <w:rFonts w:ascii="宋体" w:hAnsi="宋体"/>
                <w:kern w:val="0"/>
                <w:sz w:val="22"/>
                <w:szCs w:val="32"/>
              </w:rPr>
            </w:pPr>
            <w:r>
              <w:rPr>
                <w:rFonts w:hint="eastAsia" w:ascii="宋体" w:hAnsi="宋体"/>
                <w:kern w:val="0"/>
                <w:sz w:val="22"/>
                <w:szCs w:val="32"/>
              </w:rPr>
              <w:t>42</w:t>
            </w:r>
          </w:p>
        </w:tc>
        <w:tc>
          <w:tcPr>
            <w:tcW w:w="448" w:type="dxa"/>
            <w:vAlign w:val="center"/>
          </w:tcPr>
          <w:p>
            <w:pPr>
              <w:jc w:val="center"/>
              <w:rPr>
                <w:rFonts w:ascii="宋体" w:hAnsi="宋体"/>
                <w:kern w:val="0"/>
                <w:sz w:val="22"/>
                <w:szCs w:val="32"/>
              </w:rPr>
            </w:pPr>
            <w:r>
              <w:rPr>
                <w:rFonts w:hint="eastAsia" w:ascii="宋体" w:hAnsi="宋体"/>
                <w:kern w:val="0"/>
                <w:sz w:val="22"/>
                <w:szCs w:val="32"/>
              </w:rPr>
              <w:t>40</w:t>
            </w:r>
          </w:p>
        </w:tc>
        <w:tc>
          <w:tcPr>
            <w:tcW w:w="448" w:type="dxa"/>
            <w:vAlign w:val="center"/>
          </w:tcPr>
          <w:p>
            <w:pPr>
              <w:jc w:val="center"/>
              <w:rPr>
                <w:rFonts w:ascii="宋体" w:hAnsi="宋体"/>
                <w:kern w:val="0"/>
                <w:sz w:val="22"/>
                <w:szCs w:val="32"/>
              </w:rPr>
            </w:pPr>
            <w:r>
              <w:rPr>
                <w:rFonts w:hint="eastAsia" w:ascii="宋体" w:hAnsi="宋体"/>
                <w:kern w:val="0"/>
                <w:sz w:val="22"/>
                <w:szCs w:val="32"/>
              </w:rPr>
              <w:t>38</w:t>
            </w:r>
          </w:p>
        </w:tc>
        <w:tc>
          <w:tcPr>
            <w:tcW w:w="448" w:type="dxa"/>
            <w:vAlign w:val="center"/>
          </w:tcPr>
          <w:p>
            <w:pPr>
              <w:jc w:val="center"/>
              <w:rPr>
                <w:rFonts w:ascii="宋体" w:hAnsi="宋体"/>
                <w:kern w:val="0"/>
                <w:sz w:val="22"/>
                <w:szCs w:val="32"/>
              </w:rPr>
            </w:pPr>
            <w:r>
              <w:rPr>
                <w:rFonts w:hint="eastAsia" w:ascii="宋体" w:hAnsi="宋体"/>
                <w:kern w:val="0"/>
                <w:sz w:val="22"/>
                <w:szCs w:val="32"/>
              </w:rPr>
              <w:t>36</w:t>
            </w:r>
          </w:p>
        </w:tc>
        <w:tc>
          <w:tcPr>
            <w:tcW w:w="448" w:type="dxa"/>
            <w:vAlign w:val="center"/>
          </w:tcPr>
          <w:p>
            <w:pPr>
              <w:jc w:val="center"/>
              <w:rPr>
                <w:rFonts w:ascii="宋体" w:hAnsi="宋体"/>
                <w:kern w:val="0"/>
                <w:sz w:val="22"/>
                <w:szCs w:val="32"/>
              </w:rPr>
            </w:pPr>
            <w:r>
              <w:rPr>
                <w:rFonts w:hint="eastAsia" w:ascii="宋体" w:hAnsi="宋体"/>
                <w:kern w:val="0"/>
                <w:sz w:val="22"/>
                <w:szCs w:val="32"/>
              </w:rPr>
              <w:t>34</w:t>
            </w:r>
          </w:p>
        </w:tc>
        <w:tc>
          <w:tcPr>
            <w:tcW w:w="448" w:type="dxa"/>
            <w:vAlign w:val="center"/>
          </w:tcPr>
          <w:p>
            <w:pPr>
              <w:jc w:val="center"/>
              <w:rPr>
                <w:rFonts w:ascii="宋体" w:hAnsi="宋体"/>
                <w:kern w:val="0"/>
                <w:sz w:val="22"/>
                <w:szCs w:val="32"/>
              </w:rPr>
            </w:pPr>
            <w:r>
              <w:rPr>
                <w:rFonts w:hint="eastAsia" w:ascii="宋体" w:hAnsi="宋体"/>
                <w:kern w:val="0"/>
                <w:sz w:val="22"/>
                <w:szCs w:val="32"/>
              </w:rPr>
              <w:t>32</w:t>
            </w:r>
          </w:p>
        </w:tc>
        <w:tc>
          <w:tcPr>
            <w:tcW w:w="448" w:type="dxa"/>
            <w:vAlign w:val="center"/>
          </w:tcPr>
          <w:p>
            <w:pPr>
              <w:jc w:val="center"/>
              <w:rPr>
                <w:rFonts w:ascii="宋体" w:hAnsi="宋体"/>
                <w:kern w:val="0"/>
                <w:sz w:val="22"/>
                <w:szCs w:val="32"/>
              </w:rPr>
            </w:pPr>
            <w:r>
              <w:rPr>
                <w:rFonts w:hint="eastAsia" w:ascii="宋体" w:hAnsi="宋体"/>
                <w:kern w:val="0"/>
                <w:sz w:val="22"/>
                <w:szCs w:val="32"/>
              </w:rPr>
              <w:t>30</w:t>
            </w:r>
          </w:p>
        </w:tc>
        <w:tc>
          <w:tcPr>
            <w:tcW w:w="448" w:type="dxa"/>
            <w:vAlign w:val="center"/>
          </w:tcPr>
          <w:p>
            <w:pPr>
              <w:jc w:val="center"/>
              <w:rPr>
                <w:rFonts w:ascii="宋体" w:hAnsi="宋体"/>
                <w:kern w:val="0"/>
                <w:sz w:val="22"/>
                <w:szCs w:val="32"/>
              </w:rPr>
            </w:pPr>
            <w:r>
              <w:rPr>
                <w:rFonts w:hint="eastAsia" w:ascii="宋体" w:hAnsi="宋体"/>
                <w:kern w:val="0"/>
                <w:sz w:val="22"/>
                <w:szCs w:val="32"/>
              </w:rPr>
              <w:t>28</w:t>
            </w:r>
          </w:p>
        </w:tc>
        <w:tc>
          <w:tcPr>
            <w:tcW w:w="448" w:type="dxa"/>
            <w:vAlign w:val="center"/>
          </w:tcPr>
          <w:p>
            <w:pPr>
              <w:jc w:val="center"/>
              <w:rPr>
                <w:rFonts w:ascii="宋体" w:hAnsi="宋体"/>
                <w:kern w:val="0"/>
                <w:sz w:val="22"/>
                <w:szCs w:val="32"/>
              </w:rPr>
            </w:pPr>
            <w:r>
              <w:rPr>
                <w:rFonts w:hint="eastAsia" w:ascii="宋体" w:hAnsi="宋体"/>
                <w:kern w:val="0"/>
                <w:sz w:val="22"/>
                <w:szCs w:val="32"/>
              </w:rPr>
              <w:t>26</w:t>
            </w:r>
          </w:p>
        </w:tc>
        <w:tc>
          <w:tcPr>
            <w:tcW w:w="448" w:type="dxa"/>
            <w:vAlign w:val="center"/>
          </w:tcPr>
          <w:p>
            <w:pPr>
              <w:jc w:val="center"/>
              <w:rPr>
                <w:rFonts w:ascii="宋体" w:hAnsi="宋体"/>
                <w:kern w:val="0"/>
                <w:sz w:val="22"/>
                <w:szCs w:val="32"/>
              </w:rPr>
            </w:pPr>
            <w:r>
              <w:rPr>
                <w:rFonts w:hint="eastAsia" w:ascii="宋体" w:hAnsi="宋体"/>
                <w:kern w:val="0"/>
                <w:sz w:val="22"/>
                <w:szCs w:val="32"/>
              </w:rPr>
              <w:t>24</w:t>
            </w:r>
          </w:p>
        </w:tc>
        <w:tc>
          <w:tcPr>
            <w:tcW w:w="448" w:type="dxa"/>
            <w:vAlign w:val="center"/>
          </w:tcPr>
          <w:p>
            <w:pPr>
              <w:jc w:val="center"/>
              <w:rPr>
                <w:rFonts w:ascii="宋体" w:hAnsi="宋体"/>
                <w:kern w:val="0"/>
                <w:sz w:val="22"/>
                <w:szCs w:val="32"/>
              </w:rPr>
            </w:pPr>
            <w:r>
              <w:rPr>
                <w:rFonts w:hint="eastAsia" w:ascii="宋体" w:hAnsi="宋体"/>
                <w:kern w:val="0"/>
                <w:sz w:val="22"/>
                <w:szCs w:val="32"/>
              </w:rPr>
              <w:t>22</w:t>
            </w:r>
          </w:p>
        </w:tc>
        <w:tc>
          <w:tcPr>
            <w:tcW w:w="448" w:type="dxa"/>
            <w:vAlign w:val="center"/>
          </w:tcPr>
          <w:p>
            <w:pPr>
              <w:jc w:val="center"/>
              <w:rPr>
                <w:rFonts w:ascii="宋体" w:hAnsi="宋体"/>
                <w:kern w:val="0"/>
                <w:sz w:val="22"/>
                <w:szCs w:val="32"/>
              </w:rPr>
            </w:pPr>
            <w:r>
              <w:rPr>
                <w:rFonts w:hint="eastAsia" w:ascii="宋体" w:hAnsi="宋体"/>
                <w:kern w:val="0"/>
                <w:sz w:val="22"/>
                <w:szCs w:val="32"/>
              </w:rPr>
              <w:t>20</w:t>
            </w:r>
          </w:p>
        </w:tc>
        <w:tc>
          <w:tcPr>
            <w:tcW w:w="448" w:type="dxa"/>
            <w:vAlign w:val="center"/>
          </w:tcPr>
          <w:p>
            <w:pPr>
              <w:jc w:val="center"/>
              <w:rPr>
                <w:rFonts w:ascii="宋体" w:hAnsi="宋体"/>
                <w:kern w:val="0"/>
                <w:sz w:val="22"/>
                <w:szCs w:val="32"/>
              </w:rPr>
            </w:pPr>
            <w:r>
              <w:rPr>
                <w:rFonts w:hint="eastAsia" w:ascii="宋体" w:hAnsi="宋体"/>
                <w:kern w:val="0"/>
                <w:sz w:val="22"/>
                <w:szCs w:val="32"/>
              </w:rPr>
              <w:t>≤19</w:t>
            </w:r>
          </w:p>
        </w:tc>
        <w:tc>
          <w:tcPr>
            <w:tcW w:w="448" w:type="dxa"/>
            <w:vAlign w:val="center"/>
          </w:tcPr>
          <w:p>
            <w:pPr>
              <w:jc w:val="center"/>
              <w:rPr>
                <w:rFonts w:ascii="宋体" w:hAnsi="宋体"/>
                <w:kern w:val="0"/>
                <w:sz w:val="22"/>
                <w:szCs w:val="32"/>
              </w:rPr>
            </w:pPr>
            <w:r>
              <w:rPr>
                <w:rFonts w:hint="eastAsia" w:ascii="宋体" w:hAnsi="宋体"/>
                <w:kern w:val="0"/>
                <w:sz w:val="2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dxa"/>
          </w:tcPr>
          <w:p>
            <w:pPr>
              <w:jc w:val="center"/>
              <w:rPr>
                <w:rFonts w:ascii="宋体" w:hAnsi="宋体"/>
                <w:kern w:val="0"/>
                <w:sz w:val="22"/>
                <w:szCs w:val="32"/>
              </w:rPr>
            </w:pPr>
            <w:r>
              <w:rPr>
                <w:rFonts w:hint="eastAsia" w:ascii="宋体" w:hAnsi="宋体"/>
                <w:kern w:val="0"/>
                <w:sz w:val="22"/>
                <w:szCs w:val="32"/>
              </w:rPr>
              <w:t>成绩</w:t>
            </w:r>
          </w:p>
        </w:tc>
        <w:tc>
          <w:tcPr>
            <w:tcW w:w="547" w:type="dxa"/>
            <w:vAlign w:val="center"/>
          </w:tcPr>
          <w:p>
            <w:pPr>
              <w:jc w:val="center"/>
              <w:rPr>
                <w:rFonts w:ascii="宋体" w:hAnsi="宋体"/>
                <w:kern w:val="0"/>
                <w:sz w:val="22"/>
                <w:szCs w:val="32"/>
              </w:rPr>
            </w:pPr>
            <w:r>
              <w:rPr>
                <w:rFonts w:hint="eastAsia" w:ascii="宋体" w:hAnsi="宋体"/>
                <w:kern w:val="0"/>
                <w:sz w:val="22"/>
                <w:szCs w:val="32"/>
              </w:rPr>
              <w:t>100</w:t>
            </w:r>
          </w:p>
        </w:tc>
        <w:tc>
          <w:tcPr>
            <w:tcW w:w="448" w:type="dxa"/>
            <w:vAlign w:val="center"/>
          </w:tcPr>
          <w:p>
            <w:pPr>
              <w:jc w:val="center"/>
              <w:rPr>
                <w:rFonts w:ascii="宋体" w:hAnsi="宋体"/>
                <w:kern w:val="0"/>
                <w:sz w:val="22"/>
                <w:szCs w:val="32"/>
              </w:rPr>
            </w:pPr>
            <w:r>
              <w:rPr>
                <w:rFonts w:hint="eastAsia" w:ascii="宋体" w:hAnsi="宋体"/>
                <w:kern w:val="0"/>
                <w:sz w:val="22"/>
                <w:szCs w:val="32"/>
              </w:rPr>
              <w:t>95</w:t>
            </w:r>
          </w:p>
        </w:tc>
        <w:tc>
          <w:tcPr>
            <w:tcW w:w="448" w:type="dxa"/>
            <w:vAlign w:val="center"/>
          </w:tcPr>
          <w:p>
            <w:pPr>
              <w:jc w:val="center"/>
              <w:rPr>
                <w:rFonts w:ascii="宋体" w:hAnsi="宋体"/>
                <w:kern w:val="0"/>
                <w:sz w:val="22"/>
                <w:szCs w:val="32"/>
              </w:rPr>
            </w:pPr>
            <w:r>
              <w:rPr>
                <w:rFonts w:hint="eastAsia" w:ascii="宋体" w:hAnsi="宋体"/>
                <w:kern w:val="0"/>
                <w:sz w:val="22"/>
                <w:szCs w:val="32"/>
              </w:rPr>
              <w:t>90</w:t>
            </w:r>
          </w:p>
        </w:tc>
        <w:tc>
          <w:tcPr>
            <w:tcW w:w="448" w:type="dxa"/>
            <w:vAlign w:val="center"/>
          </w:tcPr>
          <w:p>
            <w:pPr>
              <w:jc w:val="center"/>
              <w:rPr>
                <w:rFonts w:ascii="宋体" w:hAnsi="宋体"/>
                <w:kern w:val="0"/>
                <w:sz w:val="22"/>
                <w:szCs w:val="32"/>
              </w:rPr>
            </w:pPr>
            <w:r>
              <w:rPr>
                <w:rFonts w:hint="eastAsia" w:ascii="宋体" w:hAnsi="宋体"/>
                <w:kern w:val="0"/>
                <w:sz w:val="22"/>
                <w:szCs w:val="32"/>
              </w:rPr>
              <w:t>85</w:t>
            </w:r>
          </w:p>
        </w:tc>
        <w:tc>
          <w:tcPr>
            <w:tcW w:w="448" w:type="dxa"/>
            <w:vAlign w:val="center"/>
          </w:tcPr>
          <w:p>
            <w:pPr>
              <w:jc w:val="center"/>
              <w:rPr>
                <w:rFonts w:ascii="宋体" w:hAnsi="宋体"/>
                <w:kern w:val="0"/>
                <w:sz w:val="22"/>
                <w:szCs w:val="32"/>
              </w:rPr>
            </w:pPr>
            <w:r>
              <w:rPr>
                <w:rFonts w:hint="eastAsia" w:ascii="宋体" w:hAnsi="宋体"/>
                <w:kern w:val="0"/>
                <w:sz w:val="22"/>
                <w:szCs w:val="32"/>
              </w:rPr>
              <w:t>80</w:t>
            </w:r>
          </w:p>
        </w:tc>
        <w:tc>
          <w:tcPr>
            <w:tcW w:w="448" w:type="dxa"/>
            <w:vAlign w:val="center"/>
          </w:tcPr>
          <w:p>
            <w:pPr>
              <w:jc w:val="center"/>
              <w:rPr>
                <w:rFonts w:ascii="宋体" w:hAnsi="宋体"/>
                <w:kern w:val="0"/>
                <w:sz w:val="22"/>
                <w:szCs w:val="32"/>
              </w:rPr>
            </w:pPr>
            <w:r>
              <w:rPr>
                <w:rFonts w:hint="eastAsia" w:ascii="宋体" w:hAnsi="宋体"/>
                <w:kern w:val="0"/>
                <w:sz w:val="22"/>
                <w:szCs w:val="32"/>
              </w:rPr>
              <w:t>75</w:t>
            </w:r>
          </w:p>
        </w:tc>
        <w:tc>
          <w:tcPr>
            <w:tcW w:w="448" w:type="dxa"/>
            <w:vAlign w:val="center"/>
          </w:tcPr>
          <w:p>
            <w:pPr>
              <w:jc w:val="center"/>
              <w:rPr>
                <w:rFonts w:ascii="宋体" w:hAnsi="宋体"/>
                <w:kern w:val="0"/>
                <w:sz w:val="22"/>
                <w:szCs w:val="32"/>
              </w:rPr>
            </w:pPr>
            <w:r>
              <w:rPr>
                <w:rFonts w:hint="eastAsia" w:ascii="宋体" w:hAnsi="宋体"/>
                <w:kern w:val="0"/>
                <w:sz w:val="22"/>
                <w:szCs w:val="32"/>
              </w:rPr>
              <w:t>70</w:t>
            </w:r>
          </w:p>
        </w:tc>
        <w:tc>
          <w:tcPr>
            <w:tcW w:w="448" w:type="dxa"/>
            <w:vAlign w:val="center"/>
          </w:tcPr>
          <w:p>
            <w:pPr>
              <w:jc w:val="center"/>
              <w:rPr>
                <w:rFonts w:ascii="宋体" w:hAnsi="宋体"/>
                <w:kern w:val="0"/>
                <w:sz w:val="22"/>
                <w:szCs w:val="32"/>
              </w:rPr>
            </w:pPr>
            <w:r>
              <w:rPr>
                <w:rFonts w:hint="eastAsia" w:ascii="宋体" w:hAnsi="宋体"/>
                <w:kern w:val="0"/>
                <w:sz w:val="22"/>
                <w:szCs w:val="32"/>
              </w:rPr>
              <w:t>65</w:t>
            </w:r>
          </w:p>
        </w:tc>
        <w:tc>
          <w:tcPr>
            <w:tcW w:w="448" w:type="dxa"/>
            <w:vAlign w:val="center"/>
          </w:tcPr>
          <w:p>
            <w:pPr>
              <w:jc w:val="center"/>
              <w:rPr>
                <w:rFonts w:ascii="宋体" w:hAnsi="宋体"/>
                <w:kern w:val="0"/>
                <w:sz w:val="22"/>
                <w:szCs w:val="32"/>
              </w:rPr>
            </w:pPr>
            <w:r>
              <w:rPr>
                <w:rFonts w:hint="eastAsia" w:ascii="宋体" w:hAnsi="宋体"/>
                <w:kern w:val="0"/>
                <w:sz w:val="22"/>
                <w:szCs w:val="32"/>
              </w:rPr>
              <w:t>60</w:t>
            </w:r>
          </w:p>
        </w:tc>
        <w:tc>
          <w:tcPr>
            <w:tcW w:w="448" w:type="dxa"/>
            <w:vAlign w:val="center"/>
          </w:tcPr>
          <w:p>
            <w:pPr>
              <w:jc w:val="center"/>
              <w:rPr>
                <w:rFonts w:ascii="宋体" w:hAnsi="宋体"/>
                <w:kern w:val="0"/>
                <w:sz w:val="22"/>
                <w:szCs w:val="32"/>
              </w:rPr>
            </w:pPr>
            <w:r>
              <w:rPr>
                <w:rFonts w:hint="eastAsia" w:ascii="宋体" w:hAnsi="宋体"/>
                <w:kern w:val="0"/>
                <w:sz w:val="22"/>
                <w:szCs w:val="32"/>
              </w:rPr>
              <w:t>55</w:t>
            </w:r>
          </w:p>
        </w:tc>
        <w:tc>
          <w:tcPr>
            <w:tcW w:w="448" w:type="dxa"/>
            <w:vAlign w:val="center"/>
          </w:tcPr>
          <w:p>
            <w:pPr>
              <w:jc w:val="center"/>
              <w:rPr>
                <w:rFonts w:ascii="宋体" w:hAnsi="宋体"/>
                <w:kern w:val="0"/>
                <w:sz w:val="22"/>
                <w:szCs w:val="32"/>
              </w:rPr>
            </w:pPr>
            <w:r>
              <w:rPr>
                <w:rFonts w:hint="eastAsia" w:ascii="宋体" w:hAnsi="宋体"/>
                <w:kern w:val="0"/>
                <w:sz w:val="22"/>
                <w:szCs w:val="32"/>
              </w:rPr>
              <w:t>50</w:t>
            </w:r>
          </w:p>
        </w:tc>
        <w:tc>
          <w:tcPr>
            <w:tcW w:w="448" w:type="dxa"/>
            <w:vAlign w:val="center"/>
          </w:tcPr>
          <w:p>
            <w:pPr>
              <w:jc w:val="center"/>
              <w:rPr>
                <w:rFonts w:ascii="宋体" w:hAnsi="宋体"/>
                <w:kern w:val="0"/>
                <w:sz w:val="22"/>
                <w:szCs w:val="32"/>
              </w:rPr>
            </w:pPr>
            <w:r>
              <w:rPr>
                <w:rFonts w:hint="eastAsia" w:ascii="宋体" w:hAnsi="宋体"/>
                <w:kern w:val="0"/>
                <w:sz w:val="22"/>
                <w:szCs w:val="32"/>
              </w:rPr>
              <w:t>45</w:t>
            </w:r>
          </w:p>
        </w:tc>
        <w:tc>
          <w:tcPr>
            <w:tcW w:w="448" w:type="dxa"/>
            <w:vAlign w:val="center"/>
          </w:tcPr>
          <w:p>
            <w:pPr>
              <w:jc w:val="center"/>
              <w:rPr>
                <w:rFonts w:ascii="宋体" w:hAnsi="宋体"/>
                <w:kern w:val="0"/>
                <w:sz w:val="22"/>
                <w:szCs w:val="32"/>
              </w:rPr>
            </w:pPr>
            <w:r>
              <w:rPr>
                <w:rFonts w:hint="eastAsia" w:ascii="宋体" w:hAnsi="宋体"/>
                <w:kern w:val="0"/>
                <w:sz w:val="22"/>
                <w:szCs w:val="32"/>
              </w:rPr>
              <w:t>40</w:t>
            </w:r>
          </w:p>
        </w:tc>
        <w:tc>
          <w:tcPr>
            <w:tcW w:w="448" w:type="dxa"/>
            <w:vAlign w:val="center"/>
          </w:tcPr>
          <w:p>
            <w:pPr>
              <w:jc w:val="center"/>
              <w:rPr>
                <w:rFonts w:ascii="宋体" w:hAnsi="宋体"/>
                <w:kern w:val="0"/>
                <w:sz w:val="22"/>
                <w:szCs w:val="32"/>
              </w:rPr>
            </w:pPr>
            <w:r>
              <w:rPr>
                <w:rFonts w:hint="eastAsia" w:ascii="宋体" w:hAnsi="宋体"/>
                <w:kern w:val="0"/>
                <w:sz w:val="22"/>
                <w:szCs w:val="32"/>
              </w:rPr>
              <w:t>35</w:t>
            </w:r>
          </w:p>
        </w:tc>
        <w:tc>
          <w:tcPr>
            <w:tcW w:w="448" w:type="dxa"/>
            <w:vAlign w:val="center"/>
          </w:tcPr>
          <w:p>
            <w:pPr>
              <w:jc w:val="center"/>
              <w:rPr>
                <w:rFonts w:ascii="宋体" w:hAnsi="宋体"/>
                <w:kern w:val="0"/>
                <w:sz w:val="22"/>
                <w:szCs w:val="32"/>
              </w:rPr>
            </w:pPr>
            <w:r>
              <w:rPr>
                <w:rFonts w:hint="eastAsia" w:ascii="宋体" w:hAnsi="宋体"/>
                <w:kern w:val="0"/>
                <w:sz w:val="22"/>
                <w:szCs w:val="32"/>
              </w:rPr>
              <w:t>30</w:t>
            </w:r>
          </w:p>
        </w:tc>
        <w:tc>
          <w:tcPr>
            <w:tcW w:w="448" w:type="dxa"/>
            <w:vAlign w:val="center"/>
          </w:tcPr>
          <w:p>
            <w:pPr>
              <w:jc w:val="center"/>
              <w:rPr>
                <w:rFonts w:ascii="宋体" w:hAnsi="宋体"/>
                <w:kern w:val="0"/>
                <w:sz w:val="22"/>
                <w:szCs w:val="32"/>
              </w:rPr>
            </w:pPr>
            <w:r>
              <w:rPr>
                <w:rFonts w:hint="eastAsia" w:ascii="宋体" w:hAnsi="宋体"/>
                <w:kern w:val="0"/>
                <w:sz w:val="22"/>
                <w:szCs w:val="32"/>
              </w:rPr>
              <w:t>35</w:t>
            </w:r>
          </w:p>
        </w:tc>
        <w:tc>
          <w:tcPr>
            <w:tcW w:w="448" w:type="dxa"/>
            <w:vAlign w:val="center"/>
          </w:tcPr>
          <w:p>
            <w:pPr>
              <w:jc w:val="center"/>
              <w:rPr>
                <w:rFonts w:ascii="宋体" w:hAnsi="宋体"/>
                <w:kern w:val="0"/>
                <w:sz w:val="22"/>
                <w:szCs w:val="32"/>
              </w:rPr>
            </w:pPr>
            <w:r>
              <w:rPr>
                <w:rFonts w:hint="eastAsia" w:ascii="宋体" w:hAnsi="宋体"/>
                <w:kern w:val="0"/>
                <w:sz w:val="22"/>
                <w:szCs w:val="32"/>
              </w:rPr>
              <w:t>20</w:t>
            </w:r>
          </w:p>
        </w:tc>
        <w:tc>
          <w:tcPr>
            <w:tcW w:w="448" w:type="dxa"/>
            <w:vAlign w:val="center"/>
          </w:tcPr>
          <w:p>
            <w:pPr>
              <w:jc w:val="center"/>
              <w:rPr>
                <w:rFonts w:ascii="宋体" w:hAnsi="宋体"/>
                <w:kern w:val="0"/>
                <w:sz w:val="22"/>
                <w:szCs w:val="32"/>
              </w:rPr>
            </w:pPr>
            <w:r>
              <w:rPr>
                <w:rFonts w:hint="eastAsia" w:ascii="宋体" w:hAnsi="宋体"/>
                <w:kern w:val="0"/>
                <w:sz w:val="22"/>
                <w:szCs w:val="32"/>
              </w:rPr>
              <w:t>0</w:t>
            </w:r>
          </w:p>
        </w:tc>
        <w:tc>
          <w:tcPr>
            <w:tcW w:w="448" w:type="dxa"/>
            <w:vAlign w:val="center"/>
          </w:tcPr>
          <w:p>
            <w:pPr>
              <w:jc w:val="center"/>
              <w:rPr>
                <w:rFonts w:ascii="宋体" w:hAnsi="宋体"/>
                <w:kern w:val="0"/>
                <w:sz w:val="22"/>
                <w:szCs w:val="32"/>
              </w:rPr>
            </w:pPr>
            <w:r>
              <w:rPr>
                <w:rFonts w:hint="eastAsia" w:ascii="宋体" w:hAnsi="宋体"/>
                <w:kern w:val="0"/>
                <w:sz w:val="22"/>
                <w:szCs w:val="32"/>
              </w:rPr>
              <w:t>取消</w:t>
            </w:r>
          </w:p>
        </w:tc>
      </w:tr>
    </w:tbl>
    <w:p>
      <w:pPr>
        <w:spacing w:beforeLines="50"/>
        <w:rPr>
          <w:rFonts w:ascii="宋体" w:hAnsi="宋体"/>
          <w:b/>
          <w:sz w:val="24"/>
        </w:rPr>
      </w:pPr>
      <w:r>
        <w:rPr>
          <w:rFonts w:hint="eastAsia" w:ascii="宋体" w:hAnsi="宋体"/>
          <w:b/>
          <w:sz w:val="24"/>
        </w:rPr>
        <w:t>注：（1）该学期跑步次数≤10, 则该学期体育课不能参加考试，该学期体育课重修；</w:t>
      </w:r>
    </w:p>
    <w:p>
      <w:pPr>
        <w:ind w:firstLine="360" w:firstLineChars="150"/>
        <w:rPr>
          <w:rFonts w:ascii="宋体" w:hAnsi="宋体"/>
          <w:sz w:val="24"/>
        </w:rPr>
      </w:pPr>
      <w:r>
        <w:rPr>
          <w:rFonts w:hint="eastAsia" w:ascii="宋体" w:hAnsi="宋体"/>
          <w:sz w:val="24"/>
        </w:rPr>
        <w:t>（2）该学期出现雨天等特殊情况，学校将记录天气情况并对成绩标准及时做出调整。</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2．该学年学生“阳光长跑”平均成绩达到80分及以上者，方有资格参评三好学生、一等奖学金。</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3. 班级“阳光长跑”平均成绩将作为学校班风竞赛的评分依据。</w:t>
      </w:r>
    </w:p>
    <w:p>
      <w:pPr>
        <w:spacing w:line="560" w:lineRule="exact"/>
        <w:ind w:firstLine="480" w:firstLineChars="200"/>
        <w:rPr>
          <w:rFonts w:ascii="仿宋_GB2312" w:hAnsi="宋体" w:eastAsia="仿宋_GB2312"/>
          <w:sz w:val="28"/>
          <w:szCs w:val="32"/>
        </w:rPr>
      </w:pPr>
      <w:r>
        <w:rPr>
          <w:rFonts w:hint="eastAsia" w:ascii="仿宋_GB2312" w:hAnsi="宋体" w:eastAsia="仿宋_GB2312"/>
          <w:sz w:val="24"/>
          <w:szCs w:val="28"/>
        </w:rPr>
        <w:t>4. 学校将对每月、每学期、每学年“阳光长跑”里程最长的十位同学给予表彰。</w:t>
      </w:r>
    </w:p>
    <w:p>
      <w:pPr>
        <w:spacing w:line="560" w:lineRule="exact"/>
        <w:ind w:firstLine="560" w:firstLineChars="200"/>
        <w:rPr>
          <w:rFonts w:ascii="黑体" w:hAnsi="宋体" w:eastAsia="黑体"/>
          <w:sz w:val="32"/>
          <w:szCs w:val="32"/>
        </w:rPr>
      </w:pPr>
      <w:r>
        <w:rPr>
          <w:rFonts w:hint="eastAsia" w:ascii="黑体" w:hAnsi="宋体" w:eastAsia="黑体"/>
          <w:sz w:val="28"/>
          <w:szCs w:val="28"/>
        </w:rPr>
        <w:t>四、“阳光长跑”违纪处理办法</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1.违纪界定：</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（1）找他人代跑、替他人跑步、非正常跑步者。</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（2）无故不参加跑步者。</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2.违纪处理</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（1）找他人代跑、替他人代跑等，由打卡监督员上报体育工作部，经部门审核在其“阳光长跑”成绩单上注明“作弊”，其成绩以零分记。</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（2）各学院应根据成绩单，取消作弊学生今后的奖学金和各种评优资格；并根据作弊情节，比照学生学籍管理规定中关于作弊处理的相关条款，给予处分。</w:t>
      </w:r>
    </w:p>
    <w:p>
      <w:pPr>
        <w:spacing w:line="560" w:lineRule="exact"/>
        <w:ind w:firstLine="560" w:firstLineChars="200"/>
        <w:rPr>
          <w:rFonts w:ascii="黑体" w:hAnsi="宋体" w:eastAsia="黑体"/>
          <w:sz w:val="28"/>
          <w:szCs w:val="28"/>
        </w:rPr>
      </w:pPr>
      <w:r>
        <w:rPr>
          <w:rFonts w:hint="eastAsia" w:ascii="黑体" w:hAnsi="宋体" w:eastAsia="黑体"/>
          <w:sz w:val="28"/>
          <w:szCs w:val="28"/>
        </w:rPr>
        <w:t>五、因病或残疾学生</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因病或残疾学生，可在钉钉上申请阳光长跑免跑（附件1）同时提供残疾证复印件或县级以上医院诊断证明，可免于参加。确实丧失运动能力、免于执行阳光长跑的残疾学生，仍可参加三好学生、奖学金评选。阳光长跑成绩记为及格，体育课该项成绩为60分。</w:t>
      </w:r>
    </w:p>
    <w:p>
      <w:pPr>
        <w:spacing w:line="560" w:lineRule="exact"/>
        <w:ind w:firstLine="560" w:firstLineChars="200"/>
        <w:rPr>
          <w:rFonts w:ascii="黑体" w:hAnsi="宋体" w:eastAsia="黑体"/>
          <w:sz w:val="32"/>
          <w:szCs w:val="32"/>
        </w:rPr>
      </w:pPr>
      <w:r>
        <w:rPr>
          <w:rFonts w:hint="eastAsia" w:ascii="黑体" w:hAnsi="宋体" w:eastAsia="黑体"/>
          <w:sz w:val="28"/>
          <w:szCs w:val="28"/>
        </w:rPr>
        <w:t>六、实施“阳光长跑”的职责分工</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在分管校长的领导下，学校体育工作部负责具体工作，教务处、学生处、各二级学院（辅导员或班主任）等协同配合共同组织实施。</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1.教务处负责学籍管理；</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2.体育工作部负责“阳光长跑”的组织实施；成绩评定、统计、分析；特殊学生的缓测、免测审批；对旷跑舞弊学生进行批评教育，通知该学生所在二级学院，向学校教务处提出处理意见；</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2.监卡人员职责：各打卡点值班人员需要配戴口罩,不许串岗、顶岗、缺岗、迟到、早退、玩手机等行为，一旦发现，将报体育工作部提出处理意见。</w:t>
      </w:r>
    </w:p>
    <w:p>
      <w:pPr>
        <w:spacing w:line="560" w:lineRule="exact"/>
        <w:ind w:firstLine="560" w:firstLineChars="200"/>
        <w:rPr>
          <w:rFonts w:ascii="黑体" w:hAnsi="宋体" w:eastAsia="黑体" w:cs="Arial"/>
          <w:kern w:val="0"/>
          <w:sz w:val="32"/>
          <w:szCs w:val="32"/>
        </w:rPr>
      </w:pPr>
      <w:r>
        <w:rPr>
          <w:rFonts w:hint="eastAsia" w:ascii="黑体" w:hAnsi="宋体" w:eastAsia="黑体" w:cs="Arial"/>
          <w:kern w:val="0"/>
          <w:sz w:val="28"/>
          <w:szCs w:val="28"/>
        </w:rPr>
        <w:t>七、注意事项:</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1．学生第一次“阳光长跑”开始前,请确认一卡通是否激活，如未激活，请先到体育馆大厅激活一卡通，否则无法记录成绩。请务必保管好一卡通，如有遗失，补办后需重新激活方可使用。</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2.“阳光长跑”成绩查询网站：http://172.17.28.100:8080/账号、初始密码为本人卡号，进入系统请更改自己的初始密码。</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3.阳光长跑刷卡机开放时间为：</w:t>
      </w:r>
      <w:r>
        <w:rPr>
          <w:rFonts w:hint="eastAsia" w:ascii="仿宋_GB2312" w:hAnsi="宋体" w:eastAsia="仿宋_GB2312"/>
          <w:b/>
          <w:sz w:val="24"/>
          <w:szCs w:val="28"/>
        </w:rPr>
        <w:t>5:30—19:30（全天时段，错峰跑步）</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4.禁止感冒后跑步，禁止熬夜后跑步，禁止有心血管系统或有其他疾病的学生参加跑步。如果有特殊情况请通过钉钉申请办理免跑手续。（附件1）</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5.建议餐后2小时进行运动，运动后休息30分钟后再进餐。</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6.疫情期间建议错峰进行，尽量避免在上下课时间进行阳光长跑。打卡时前后距离保持一米以上，如遇拥挤请换打卡点进行。</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7.不戴着口罩跑步,如果跑步人数较多，请更改跑步时间。</w:t>
      </w:r>
    </w:p>
    <w:p>
      <w:pPr>
        <w:spacing w:line="560" w:lineRule="exact"/>
        <w:ind w:firstLine="480" w:firstLineChars="200"/>
        <w:rPr>
          <w:rFonts w:ascii="仿宋_GB2312" w:hAnsi="宋体" w:eastAsia="仿宋_GB2312"/>
          <w:sz w:val="28"/>
          <w:szCs w:val="32"/>
        </w:rPr>
      </w:pPr>
      <w:r>
        <w:rPr>
          <w:rFonts w:hint="eastAsia" w:ascii="仿宋_GB2312" w:hAnsi="宋体" w:eastAsia="仿宋_GB2312"/>
          <w:sz w:val="24"/>
          <w:szCs w:val="28"/>
        </w:rPr>
        <w:t>8.发热学生禁止参加跑步，可及时报告班主任、所在学院和医务室，等身体恢复正常后再进行阳光长跑。</w:t>
      </w:r>
    </w:p>
    <w:p>
      <w:pPr>
        <w:spacing w:line="560" w:lineRule="exact"/>
        <w:ind w:firstLine="560" w:firstLineChars="200"/>
        <w:rPr>
          <w:rFonts w:ascii="黑体" w:hAnsi="宋体" w:eastAsia="黑体"/>
          <w:sz w:val="28"/>
          <w:szCs w:val="28"/>
        </w:rPr>
      </w:pPr>
      <w:r>
        <w:rPr>
          <w:rFonts w:hint="eastAsia" w:ascii="黑体" w:hAnsi="宋体" w:eastAsia="黑体"/>
          <w:sz w:val="28"/>
          <w:szCs w:val="28"/>
        </w:rPr>
        <w:t>八、附则</w:t>
      </w:r>
    </w:p>
    <w:p>
      <w:pPr>
        <w:spacing w:line="560" w:lineRule="exact"/>
        <w:ind w:firstLine="480" w:firstLineChars="200"/>
        <w:rPr>
          <w:rFonts w:ascii="仿宋_GB2312" w:hAnsi="宋体" w:eastAsia="仿宋_GB2312"/>
          <w:sz w:val="24"/>
          <w:szCs w:val="28"/>
        </w:rPr>
      </w:pPr>
      <w:r>
        <w:rPr>
          <w:rFonts w:hint="eastAsia" w:ascii="仿宋_GB2312" w:hAnsi="宋体" w:eastAsia="仿宋_GB2312"/>
          <w:sz w:val="24"/>
          <w:szCs w:val="28"/>
        </w:rPr>
        <w:t>本方案由体育工作部负责解释。</w:t>
      </w:r>
    </w:p>
    <w:p>
      <w:pPr>
        <w:topLinePunct/>
        <w:spacing w:line="560" w:lineRule="exact"/>
        <w:rPr>
          <w:rFonts w:ascii="黑体" w:eastAsia="黑体"/>
          <w:sz w:val="32"/>
          <w:szCs w:val="32"/>
        </w:rPr>
      </w:pPr>
    </w:p>
    <w:p>
      <w:pPr>
        <w:spacing w:line="560" w:lineRule="exact"/>
        <w:ind w:firstLine="560" w:firstLineChars="200"/>
        <w:rPr>
          <w:rFonts w:ascii="仿宋_GB2312" w:hAnsi="宋体" w:eastAsia="仿宋_GB2312"/>
          <w:sz w:val="28"/>
          <w:szCs w:val="32"/>
        </w:rPr>
      </w:pPr>
    </w:p>
    <w:p>
      <w:pPr>
        <w:spacing w:line="560" w:lineRule="exact"/>
        <w:ind w:firstLine="560" w:firstLineChars="200"/>
        <w:rPr>
          <w:rFonts w:ascii="仿宋_GB2312" w:hAnsi="宋体" w:eastAsia="仿宋_GB2312"/>
          <w:sz w:val="28"/>
          <w:szCs w:val="32"/>
        </w:rPr>
      </w:pPr>
    </w:p>
    <w:p>
      <w:pPr>
        <w:spacing w:line="560" w:lineRule="exact"/>
        <w:ind w:firstLine="560" w:firstLineChars="200"/>
        <w:rPr>
          <w:rFonts w:ascii="仿宋_GB2312" w:hAnsi="宋体" w:eastAsia="仿宋_GB2312"/>
          <w:sz w:val="28"/>
          <w:szCs w:val="32"/>
        </w:rPr>
      </w:pPr>
    </w:p>
    <w:p>
      <w:pPr>
        <w:rPr>
          <w:rFonts w:ascii="仿宋" w:hAnsi="仿宋" w:eastAsia="仿宋"/>
          <w:sz w:val="24"/>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hint="eastAsia" w:ascii="宋体" w:hAnsi="宋体" w:cs="宋体"/>
          <w:b/>
          <w:bCs/>
        </w:rPr>
      </w:pPr>
    </w:p>
    <w:p>
      <w:pPr>
        <w:rPr>
          <w:rFonts w:hint="eastAsia" w:ascii="宋体" w:hAnsi="宋体" w:cs="宋体"/>
          <w:b/>
          <w:bCs/>
        </w:rPr>
      </w:pPr>
    </w:p>
    <w:p>
      <w:pPr>
        <w:jc w:val="right"/>
        <w:rPr>
          <w:rFonts w:hint="default" w:ascii="宋体" w:hAnsi="宋体" w:eastAsia="宋体" w:cs="宋体"/>
          <w:b/>
          <w:bCs/>
          <w:lang w:val="en-US" w:eastAsia="zh-CN"/>
        </w:rPr>
      </w:pPr>
      <w:r>
        <w:rPr>
          <w:rFonts w:hint="eastAsia" w:ascii="宋体" w:hAnsi="宋体" w:cs="宋体"/>
          <w:b/>
          <w:bCs/>
          <w:lang w:val="en-US" w:eastAsia="zh-CN"/>
        </w:rPr>
        <w:t>2020年9月19日</w:t>
      </w:r>
    </w:p>
    <w:p>
      <w:pPr>
        <w:rPr>
          <w:rFonts w:hint="eastAsia" w:ascii="宋体" w:hAnsi="宋体" w:cs="宋体"/>
          <w:b/>
          <w:bCs/>
        </w:rPr>
      </w:pPr>
    </w:p>
    <w:p>
      <w:pPr>
        <w:jc w:val="right"/>
        <w:rPr>
          <w:rFonts w:hint="eastAsia" w:ascii="宋体" w:hAnsi="宋体" w:eastAsia="宋体" w:cs="宋体"/>
          <w:b/>
          <w:bCs/>
          <w:lang w:eastAsia="zh-CN"/>
        </w:rPr>
      </w:pPr>
      <w:r>
        <w:rPr>
          <w:rFonts w:hint="eastAsia" w:ascii="宋体" w:hAnsi="宋体" w:cs="宋体"/>
          <w:b/>
          <w:bCs/>
          <w:lang w:eastAsia="zh-CN"/>
        </w:rPr>
        <w:t>衢州学院体育运动委员会</w:t>
      </w:r>
    </w:p>
    <w:p>
      <w:pPr>
        <w:jc w:val="cente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ascii="宋体" w:hAnsi="宋体" w:cs="宋体"/>
          <w:b/>
          <w:bCs/>
        </w:rPr>
      </w:pPr>
      <w:r>
        <w:rPr>
          <w:rFonts w:hint="eastAsia" w:ascii="宋体" w:hAnsi="宋体" w:cs="宋体"/>
          <w:b/>
          <w:bCs/>
        </w:rPr>
        <w:t>附件1</w:t>
      </w:r>
    </w:p>
    <w:p>
      <w:pPr>
        <w:spacing w:before="312"/>
        <w:ind w:firstLine="643"/>
        <w:jc w:val="center"/>
        <w:rPr>
          <w:b/>
          <w:sz w:val="32"/>
        </w:rPr>
      </w:pPr>
      <w:r>
        <w:rPr>
          <w:rFonts w:hint="eastAsia"/>
          <w:b/>
          <w:sz w:val="32"/>
        </w:rPr>
        <w:t>阳光长跑免跑申请操作指南</w:t>
      </w:r>
    </w:p>
    <w:p>
      <w:pPr>
        <w:spacing w:before="312"/>
        <w:ind w:firstLine="440"/>
        <w:jc w:val="left"/>
        <w:rPr>
          <w:b/>
          <w:sz w:val="32"/>
        </w:rPr>
      </w:pPr>
      <w:r>
        <w:rPr>
          <w:rFonts w:hint="eastAsia" w:asciiTheme="minorEastAsia" w:hAnsiTheme="minorEastAsia"/>
          <w:sz w:val="22"/>
          <w:szCs w:val="28"/>
        </w:rPr>
        <w:t>亲爱的同学们：</w:t>
      </w:r>
    </w:p>
    <w:p>
      <w:pPr>
        <w:spacing w:before="312"/>
        <w:ind w:firstLine="880" w:firstLineChars="400"/>
        <w:jc w:val="left"/>
        <w:rPr>
          <w:rFonts w:asciiTheme="minorEastAsia" w:hAnsiTheme="minorEastAsia"/>
          <w:sz w:val="22"/>
          <w:szCs w:val="28"/>
        </w:rPr>
      </w:pPr>
      <w:r>
        <w:rPr>
          <w:rFonts w:hint="eastAsia" w:asciiTheme="minorEastAsia" w:hAnsiTheme="minorEastAsia"/>
          <w:sz w:val="22"/>
          <w:szCs w:val="28"/>
        </w:rPr>
        <w:t>为了方便大家办理</w:t>
      </w:r>
      <w:r>
        <w:rPr>
          <w:rFonts w:hint="eastAsia"/>
          <w:sz w:val="22"/>
        </w:rPr>
        <w:t>阳光长跑免跑的手续，现开通网上办理，办理流程如下。</w:t>
      </w:r>
    </w:p>
    <w:p>
      <w:pPr>
        <w:pStyle w:val="10"/>
        <w:numPr>
          <w:ilvl w:val="0"/>
          <w:numId w:val="1"/>
        </w:numPr>
        <w:spacing w:beforeLines="100" w:line="400" w:lineRule="exact"/>
        <w:ind w:firstLineChars="0"/>
      </w:pPr>
      <w:r>
        <w:rPr>
          <w:rFonts w:hint="eastAsia"/>
        </w:rPr>
        <w:drawing>
          <wp:anchor distT="0" distB="0" distL="114300" distR="114300" simplePos="0" relativeHeight="251662336" behindDoc="1" locked="0" layoutInCell="1" allowOverlap="1">
            <wp:simplePos x="0" y="0"/>
            <wp:positionH relativeFrom="column">
              <wp:posOffset>3181350</wp:posOffset>
            </wp:positionH>
            <wp:positionV relativeFrom="paragraph">
              <wp:posOffset>167640</wp:posOffset>
            </wp:positionV>
            <wp:extent cx="952500" cy="1215390"/>
            <wp:effectExtent l="95250" t="95250" r="95250" b="99191"/>
            <wp:wrapNone/>
            <wp:docPr id="7" name="图片 2" descr="C:\Users\学生体质测试\AppData\Roaming\DingTalk\48282493_v2\ImageFiles\7465377\3184643195_1650662941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学生体质测试\AppData\Roaming\DingTalk\48282493_v2\ImageFiles\7465377\3184643195_16506629415_Image.jpg"/>
                    <pic:cNvPicPr>
                      <a:picLocks noChangeAspect="1" noChangeArrowheads="1"/>
                    </pic:cNvPicPr>
                  </pic:nvPicPr>
                  <pic:blipFill>
                    <a:blip r:embed="rId11" cstate="print"/>
                    <a:srcRect/>
                    <a:stretch>
                      <a:fillRect/>
                    </a:stretch>
                  </pic:blipFill>
                  <pic:spPr>
                    <a:xfrm>
                      <a:off x="0" y="0"/>
                      <a:ext cx="952500" cy="1215259"/>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anchor>
        </w:drawing>
      </w:r>
      <w:r>
        <w:rPr>
          <w:rFonts w:hint="eastAsia"/>
        </w:rPr>
        <w:t>下载APP“钉钉”；</w:t>
      </w:r>
    </w:p>
    <w:p>
      <w:pPr>
        <w:pStyle w:val="10"/>
        <w:numPr>
          <w:ilvl w:val="0"/>
          <w:numId w:val="1"/>
        </w:numPr>
        <w:spacing w:beforeLines="100" w:line="400" w:lineRule="exact"/>
        <w:ind w:firstLineChars="0"/>
      </w:pPr>
      <w:r>
        <w:rPr>
          <w:rFonts w:hint="eastAsia"/>
        </w:rPr>
        <w:t>扫右侧二维码申请加入公体部办事中心；</w:t>
      </w:r>
    </w:p>
    <w:p>
      <w:pPr>
        <w:pStyle w:val="10"/>
        <w:spacing w:before="312"/>
        <w:ind w:left="780" w:firstLine="0" w:firstLineChars="0"/>
      </w:pPr>
    </w:p>
    <w:p>
      <w:pPr>
        <w:pStyle w:val="10"/>
        <w:numPr>
          <w:ilvl w:val="0"/>
          <w:numId w:val="1"/>
        </w:numPr>
        <w:spacing w:beforeLines="100" w:line="400" w:lineRule="exact"/>
        <w:ind w:firstLineChars="0"/>
      </w:pPr>
      <w:r>
        <w:rPr>
          <w:rFonts w:hint="eastAsia"/>
        </w:rPr>
        <w:drawing>
          <wp:anchor distT="0" distB="0" distL="114300" distR="114300" simplePos="0" relativeHeight="251659264" behindDoc="0" locked="0" layoutInCell="1" allowOverlap="1">
            <wp:simplePos x="0" y="0"/>
            <wp:positionH relativeFrom="column">
              <wp:posOffset>-190500</wp:posOffset>
            </wp:positionH>
            <wp:positionV relativeFrom="paragraph">
              <wp:posOffset>900430</wp:posOffset>
            </wp:positionV>
            <wp:extent cx="2924810" cy="4310380"/>
            <wp:effectExtent l="95250" t="95250" r="104140" b="90170"/>
            <wp:wrapNone/>
            <wp:docPr id="4" name="图片 0" descr="截屏_20190509_16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截屏_20190509_160520.jpg"/>
                    <pic:cNvPicPr>
                      <a:picLocks noChangeAspect="1"/>
                    </pic:cNvPicPr>
                  </pic:nvPicPr>
                  <pic:blipFill>
                    <a:blip r:embed="rId12" cstate="print"/>
                    <a:stretch>
                      <a:fillRect/>
                    </a:stretch>
                  </pic:blipFill>
                  <pic:spPr>
                    <a:xfrm>
                      <a:off x="0" y="0"/>
                      <a:ext cx="2924810" cy="4310380"/>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anchor>
        </w:drawing>
      </w:r>
      <w:r>
        <w:rPr>
          <w:rFonts w:hint="eastAsia"/>
        </w:rPr>
        <w:t>管理员通过后，点左上角选择</w:t>
      </w:r>
      <w:r>
        <w:rPr>
          <w:rFonts w:hint="eastAsia"/>
          <w:b/>
        </w:rPr>
        <w:t>衢州学院</w:t>
      </w:r>
      <w:r>
        <w:rPr>
          <w:rFonts w:hint="eastAsia"/>
        </w:rPr>
        <w:t>，再点击最下方“</w:t>
      </w:r>
      <w:r>
        <w:rPr>
          <w:rFonts w:hint="eastAsia"/>
          <w:b/>
        </w:rPr>
        <w:t>工作</w:t>
      </w:r>
      <w:r>
        <w:rPr>
          <w:rFonts w:hint="eastAsia"/>
        </w:rPr>
        <w:t>”选项，选择</w:t>
      </w:r>
      <w:r>
        <w:rPr>
          <w:rFonts w:hint="eastAsia"/>
          <w:b/>
        </w:rPr>
        <w:t>审批</w:t>
      </w:r>
      <w:r>
        <w:rPr>
          <w:rFonts w:hint="eastAsia"/>
        </w:rPr>
        <w:t>，然后下拉到公共体育教学部选需要办理的项目。</w:t>
      </w:r>
    </w:p>
    <w:p>
      <w:pPr>
        <w:rPr>
          <w:b/>
        </w:rPr>
      </w:pPr>
      <w:r>
        <w:rPr>
          <w:b/>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189865</wp:posOffset>
            </wp:positionV>
            <wp:extent cx="3004820" cy="4305300"/>
            <wp:effectExtent l="114300" t="95250" r="100330" b="95250"/>
            <wp:wrapNone/>
            <wp:docPr id="5" name="图片 2" descr="截屏_20190509_16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截屏_20190509_160555.jpg"/>
                    <pic:cNvPicPr>
                      <a:picLocks noChangeAspect="1"/>
                    </pic:cNvPicPr>
                  </pic:nvPicPr>
                  <pic:blipFill>
                    <a:blip r:embed="rId13" cstate="print"/>
                    <a:stretch>
                      <a:fillRect/>
                    </a:stretch>
                  </pic:blipFill>
                  <pic:spPr>
                    <a:xfrm>
                      <a:off x="0" y="0"/>
                      <a:ext cx="3004820" cy="4305300"/>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anchor>
        </w:drawing>
      </w:r>
    </w:p>
    <w:p>
      <w:pPr>
        <w:spacing w:line="560" w:lineRule="exact"/>
        <w:ind w:firstLine="560" w:firstLineChars="200"/>
        <w:rPr>
          <w:rFonts w:ascii="仿宋_GB2312" w:hAnsi="宋体" w:eastAsia="仿宋_GB2312"/>
          <w:sz w:val="28"/>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3A98"/>
    <w:multiLevelType w:val="multilevel"/>
    <w:tmpl w:val="73BC3A9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74CD"/>
    <w:rsid w:val="000C6F31"/>
    <w:rsid w:val="001557D0"/>
    <w:rsid w:val="00157857"/>
    <w:rsid w:val="00195AB4"/>
    <w:rsid w:val="00263484"/>
    <w:rsid w:val="003754F3"/>
    <w:rsid w:val="003B09CD"/>
    <w:rsid w:val="00453029"/>
    <w:rsid w:val="004600D9"/>
    <w:rsid w:val="005078C0"/>
    <w:rsid w:val="005D74CD"/>
    <w:rsid w:val="00650444"/>
    <w:rsid w:val="006A3688"/>
    <w:rsid w:val="006D28DF"/>
    <w:rsid w:val="0074795D"/>
    <w:rsid w:val="00766390"/>
    <w:rsid w:val="007F4E9D"/>
    <w:rsid w:val="0081491E"/>
    <w:rsid w:val="00822B56"/>
    <w:rsid w:val="00826B2A"/>
    <w:rsid w:val="00833E46"/>
    <w:rsid w:val="0085096F"/>
    <w:rsid w:val="009168EF"/>
    <w:rsid w:val="009F3E46"/>
    <w:rsid w:val="00A21489"/>
    <w:rsid w:val="00A970B4"/>
    <w:rsid w:val="00AE69C9"/>
    <w:rsid w:val="00B476C7"/>
    <w:rsid w:val="00B636CA"/>
    <w:rsid w:val="00CB317F"/>
    <w:rsid w:val="00CD1C66"/>
    <w:rsid w:val="00DB17FC"/>
    <w:rsid w:val="00DD1DD9"/>
    <w:rsid w:val="00E65DFB"/>
    <w:rsid w:val="00F50C68"/>
    <w:rsid w:val="00FA6364"/>
    <w:rsid w:val="00FC4C65"/>
    <w:rsid w:val="00FD227E"/>
    <w:rsid w:val="00FF688F"/>
    <w:rsid w:val="02103821"/>
    <w:rsid w:val="05380C08"/>
    <w:rsid w:val="0C8B02A9"/>
    <w:rsid w:val="0D3876A0"/>
    <w:rsid w:val="0DEC6D1A"/>
    <w:rsid w:val="1A7F4B67"/>
    <w:rsid w:val="23B42A40"/>
    <w:rsid w:val="25171A38"/>
    <w:rsid w:val="31A216D0"/>
    <w:rsid w:val="3BD41178"/>
    <w:rsid w:val="3EA87A57"/>
    <w:rsid w:val="4FEA6943"/>
    <w:rsid w:val="57450254"/>
    <w:rsid w:val="6C292F60"/>
    <w:rsid w:val="71937662"/>
    <w:rsid w:val="7AF9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rPr>
      <w:szCs w:val="20"/>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338</Words>
  <Characters>1933</Characters>
  <Lines>16</Lines>
  <Paragraphs>4</Paragraphs>
  <TotalTime>36</TotalTime>
  <ScaleCrop>false</ScaleCrop>
  <LinksUpToDate>false</LinksUpToDate>
  <CharactersWithSpaces>2267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2020-04-30T02:00:00Z</dcterms:created>
  <dc:creator>毛圣力</dc:creator>
  <cp:lastModifiedBy>shizhenlei</cp:lastModifiedBy>
  <dcterms:modified xsi:type="dcterms:W3CDTF">2020-09-24T08:17:31Z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